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CD5E8" w14:textId="675B1B88" w:rsidR="00E603BD" w:rsidRDefault="005F220B" w:rsidP="00E603BD">
      <w:pPr>
        <w:rPr>
          <w:rFonts w:ascii="Times New Roman" w:eastAsia="Cambria" w:hAnsi="Times New Roman" w:cs="Times New Roman"/>
          <w:b/>
          <w:sz w:val="28"/>
          <w:szCs w:val="28"/>
        </w:rPr>
      </w:pPr>
      <w:r w:rsidRPr="005F220B">
        <w:rPr>
          <w:rFonts w:ascii="Times New Roman" w:eastAsia="Cambria" w:hAnsi="Times New Roman" w:cs="Times New Roman"/>
          <w:b/>
          <w:i/>
          <w:iCs/>
          <w:sz w:val="28"/>
          <w:szCs w:val="28"/>
          <w:lang w:val="ru-RU"/>
        </w:rPr>
        <w:t>Лекция.</w:t>
      </w:r>
      <w:r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</w:t>
      </w:r>
      <w:r w:rsidR="00E603BD" w:rsidRPr="00E603BD">
        <w:rPr>
          <w:rFonts w:ascii="Times New Roman" w:eastAsia="Cambria" w:hAnsi="Times New Roman" w:cs="Times New Roman"/>
          <w:b/>
          <w:sz w:val="28"/>
          <w:szCs w:val="28"/>
        </w:rPr>
        <w:t>КОНЦЕПТУАЛЬНЫЙ ДИЗАЙН: ОТ ИДЕИ К ПРОДУКТУ</w:t>
      </w:r>
    </w:p>
    <w:p w14:paraId="148341D4" w14:textId="707E42B5" w:rsidR="00E603BD" w:rsidRPr="00E603BD" w:rsidRDefault="00E9246E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9246E">
        <w:rPr>
          <w:rFonts w:ascii="Times New Roman" w:eastAsia="Cambria" w:hAnsi="Times New Roman" w:cs="Times New Roman"/>
          <w:b/>
          <w:sz w:val="28"/>
          <w:szCs w:val="28"/>
        </w:rPr>
        <w:t xml:space="preserve"> </w:t>
      </w:r>
      <w:r w:rsidR="00E603BD">
        <w:rPr>
          <w:rFonts w:ascii="Times New Roman" w:eastAsia="Cambria" w:hAnsi="Times New Roman" w:cs="Times New Roman"/>
          <w:b/>
          <w:sz w:val="28"/>
          <w:szCs w:val="28"/>
          <w:lang w:val="ru-RU"/>
        </w:rPr>
        <w:t xml:space="preserve"> 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Концептуализм – направление, объединяющее процесс творчества и процесс его исследования. О процессинге в дизайне сейчас пишут много и противоречиво, определяя дизайн как единый процесс формообразования окружающей среды, как бизнес-процесс, как практику процессов </w:t>
      </w:r>
      <w:proofErr w:type="spellStart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трансверсии</w:t>
      </w:r>
      <w:proofErr w:type="spellEnd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вещей в знаки и знаков в вещи, как процесс коммуникации. Последовательно раскрывая основные аспекты концептуализма, мы получаем возможность рассмотреть его с позиции отношений в гибриде продукт/процесс.</w:t>
      </w:r>
    </w:p>
    <w:p w14:paraId="178F3884" w14:textId="7F38E6CF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Концептуальный дизайн – это, прежде всего, сила идеи, а не материала. В концептуальном дизайне концепция важнее физического выражения. Именно поэтому об этой грядущей поре уже пишут как о наступлении нового времени – о «концептуальной эпохе». С. Огурцов в статье «Искусство после концептуализма: концептуальное пространство искусства» называет «именно концептуализм (а не авангард) главной – и еще не осмысленной – художественной революцией XX века».</w:t>
      </w:r>
    </w:p>
    <w:p w14:paraId="4ABAC2DC" w14:textId="7774B66A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В настоящее время очень остро перед аналитиками стоит проблема дефиниции дизайна. Попытки определить проблемное поле дизайна можно встретить в работах М. Хайдеггера, Ж.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Дерриды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, Ж. Бодрийяра, К.М. Кантора, В.М. Розина, В.Л. Глазычева, О.И.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Генисаретского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. В монографии «Дизайн. Опыт метафизической транскрипции» Г.Н. Лола отмечает динамику дефиниций дизайна «от наброска объекта, который затем должен быть сделан или построен», до идеи «дизайна без продукта, а как процесса или способа жизнедеятельности как такового».</w:t>
      </w:r>
    </w:p>
    <w:p w14:paraId="4E6879DF" w14:textId="1886CD8A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Концептуальный дизайн хорош только тогда, когда хороша концептуальная идея.</w:t>
      </w: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Концепция и идея суть разные вещи. Концепция задает общее направление; идея является компонентом произведения. Идеи позволяют реализовывать концепцию [1]. По сути, концепция и есть логическое основание идеи.</w:t>
      </w:r>
    </w:p>
    <w:p w14:paraId="54E58A09" w14:textId="4B280FF9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Любая идея или решение в концептуальном дизайне не может возникнуть и действовать без сознания, тех условий, которые повлияли на его появление. Природа условий может быть понята на основе предыдущих решений. Это могут быть какие-то состоявшиеся факты, наблюдения, известные закономерности и концепции. Концептуальный дизайнер в каждое мгновение умеет восстановить эти условия как логические основания развертки его концептуальной деятельности.</w:t>
      </w:r>
    </w:p>
    <w:p w14:paraId="2A7A1B03" w14:textId="789A01C4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Если же таких предыдущих решений нет, если факты еще «молчат», а решение принимать надо, такими основаниями условий выступают предположения, допущения или, строже говоря, гипотезы. «…Понять нечто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lastRenderedPageBreak/>
        <w:t>можно лишь благодаря заранее имеющимся относительно него предположениям, а не когда оно предстоит нам как что-то абсолютно загадочное»</w:t>
      </w:r>
      <w:r w:rsidR="00191920" w:rsidRPr="00191920">
        <w:t xml:space="preserve"> </w:t>
      </w:r>
      <w:r w:rsidR="00191920" w:rsidRPr="00191920">
        <w:rPr>
          <w:rFonts w:ascii="Times New Roman" w:eastAsia="Cambria" w:hAnsi="Times New Roman" w:cs="Times New Roman"/>
          <w:bCs/>
          <w:sz w:val="28"/>
          <w:szCs w:val="28"/>
        </w:rPr>
        <w:t>[2]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. Это не противоречит следующим аспектам понятия «концепция» (от лат.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conception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– понимание, система, взгляд, представление): установка на фиксацию предельных значений; введение в дискурс допущений, без которых невозможна «раскрутка» и детальная проработка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презентируемой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идеи; а также «маскировка» внутри исходной (базисной) теории компонентов личностного знания</w:t>
      </w:r>
      <w:r w:rsidR="00191920" w:rsidRPr="00191920">
        <w:t xml:space="preserve"> </w:t>
      </w:r>
      <w:r w:rsidR="00191920" w:rsidRPr="00191920">
        <w:rPr>
          <w:rFonts w:ascii="Times New Roman" w:eastAsia="Cambria" w:hAnsi="Times New Roman" w:cs="Times New Roman"/>
          <w:bCs/>
          <w:sz w:val="28"/>
          <w:szCs w:val="28"/>
        </w:rPr>
        <w:t>[6]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.</w:t>
      </w:r>
    </w:p>
    <w:p w14:paraId="08A8FE59" w14:textId="58246D1C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Следует отметить, что концептуальное мышление принципиально происходит там, где факты действительно «молчат» или лишь «намекают» на реальность, а дизайнеру уже нужно ее как-то понимать и действовать. В этих условиях гипотезы, допущения – вовсе не признаки профессионального бессилия. Напротив, они – свидетельства смелости дизайнера и его «познавательной наглости» – ведь он идет туда, где еще никого не было. Но такого рода логические основания идей и решений являются силой лишь потому, что дизайнер-концептуалист всегда помнит, что они лишь гипотезы, и готов вернуться и пересмотреть их, если его решения окажутся неудовлетворительными.</w:t>
      </w:r>
    </w:p>
    <w:p w14:paraId="6634A6F3" w14:textId="182956EE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Итак, концептуальный дизайнер за каждой идеей умеет находить и видеть его логическую причину, которая только и оправдывает его.</w:t>
      </w:r>
    </w:p>
    <w:p w14:paraId="6C2EF6C4" w14:textId="77777777" w:rsidR="00191920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  <w:lang w:val="ru-RU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Комментируя свой осенний показ 2000 года, Хусейн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Чалаян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объяснял: он знал, что хочет показать пустую гостиную, «и из этой идеи родилась вся коллекция»</w:t>
      </w:r>
      <w:r w:rsidR="00191920" w:rsidRPr="00191920">
        <w:t xml:space="preserve"> </w:t>
      </w:r>
      <w:r w:rsidR="00191920" w:rsidRPr="00191920">
        <w:rPr>
          <w:rFonts w:ascii="Times New Roman" w:eastAsia="Cambria" w:hAnsi="Times New Roman" w:cs="Times New Roman"/>
          <w:bCs/>
          <w:sz w:val="28"/>
          <w:szCs w:val="28"/>
        </w:rPr>
        <w:t>[3]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.</w:t>
      </w: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</w:p>
    <w:p w14:paraId="2BB9FBA0" w14:textId="5C1ACBBC" w:rsidR="00E603BD" w:rsidRPr="00E603BD" w:rsidRDefault="00191920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Момент «включения» концептуального мышления можно связать с переходом к такому состоянию сознания, при котором любая идея рассматривается как элемент множества. Это происходит даже тогда, когда концептуальный дизайнер имеет дело с одной единственной идеей, ведь есть множества, состоящие из единственного элемента или даже «пустые» множества.</w:t>
      </w:r>
      <w:r w:rsidR="00E603BD"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По сути дела, переход от идеи к множеству идей есть акт признания того, что у каждой концепции есть не только содержание, но и объем. Это важнейшая характеристика понятия, показывающая сумму идей, которые можно вывести как следствия из их логического основания. Читаем у </w:t>
      </w:r>
      <w:proofErr w:type="spellStart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Левитта</w:t>
      </w:r>
      <w:proofErr w:type="spellEnd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: «Для каждого концептуального продукта, получившего физическую форму, существует множество вариаций, которые не были воплощены в материи»</w:t>
      </w:r>
      <w:r w:rsidRPr="00191920">
        <w:t xml:space="preserve"> </w:t>
      </w:r>
      <w:r w:rsidRPr="00191920">
        <w:rPr>
          <w:rFonts w:ascii="Times New Roman" w:eastAsia="Cambria" w:hAnsi="Times New Roman" w:cs="Times New Roman"/>
          <w:bCs/>
          <w:sz w:val="28"/>
          <w:szCs w:val="28"/>
        </w:rPr>
        <w:t>[1]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.</w:t>
      </w:r>
    </w:p>
    <w:p w14:paraId="5608DD1C" w14:textId="107A55C8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Постоянное удерживание в сознании концептуального дизайнера содержания концепции и ее объема, переход от первого ко второму, оперирование элементами объемов концепций и восстановление по ним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lastRenderedPageBreak/>
        <w:t>признаков идей позволяет дизайнеру овладевать и управлять разнообразиями.</w:t>
      </w:r>
    </w:p>
    <w:p w14:paraId="20C163AB" w14:textId="5FCE346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Каждый дизайнер-концептуалист обладает способностью удерживать многообразие вещей в некотором единстве. Каждая идея концептуального дизайна вскрывает множество других идей.</w:t>
      </w: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Любая идея или решение есть след человеческих усилий. У каждой из них свой автор, хотя и не всегда тот, кто под ними подписан. В практике концептуального дизайна авторский след заметнее, чем в других. Среди несчетного количества связей, которые могут образовывать дизайн-концепты, сознательно оставляется лишь то, что нужно для понимания идеи. Но, самое существенное, – оставляется лишь то, что так или иначе понято, «схвачено» дизайнером в состоянии «здесь и сейчас».</w:t>
      </w:r>
    </w:p>
    <w:p w14:paraId="046674B7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Иными словами, продукты концептуального дизайна всегда выдают исследовательскую позицию (познавательную интенцию), которую проявляет дизайнер. Она заметна по намерениям, которые послужили причинами так или иначе выстроенных допущений относительно идеи. В ходе концептуальной работы эти намерения становятся явными, они эксплицируются. Через автора дизайнерского концепта можно очертить предельную границу того мира, который создается плодами его концептуального мышления.</w:t>
      </w:r>
    </w:p>
    <w:p w14:paraId="0EF89C43" w14:textId="38A0D5D5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</w:t>
      </w:r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Личностно-пограничный характер интеллектуального труда – признак концептуального дизайна. Это роднит его с философией. На это специфическое свойство философии очень точно указал Г.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Зиммель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: «Реакция философствующей мысли означает не поглощение мира индивидуумом, не его очеловечивание, а то, что, напротив, возникает типическая картина мира, в который включается также индивидуум; образуется целое – именно такое, каким его может мыслить этот тип «человеческого»; и благодаря этому индивидуум, сознающий свою, несомненную реальность, устанавливает единство целого и сам может быть понят через него» [4]. Еще один немаловажный аспект понятия «концепция» – ярко выраженное личностное начало, фигура основателя, единственно знающего исходный замысел. Именно благодаря этому аспекту концепции мы легко отличаем коллекцию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Comme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des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Garcons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от коллекции Alexander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McQueen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, Martin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Margiela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– от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Hussein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Chalayan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, а John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Galliano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никогда не перепутаем с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Viktor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&amp; </w:t>
      </w:r>
      <w:proofErr w:type="spellStart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Rolf</w:t>
      </w:r>
      <w:proofErr w:type="spellEnd"/>
      <w:r w:rsidRPr="00E603BD">
        <w:rPr>
          <w:rFonts w:ascii="Times New Roman" w:eastAsia="Cambria" w:hAnsi="Times New Roman" w:cs="Times New Roman"/>
          <w:bCs/>
          <w:sz w:val="28"/>
          <w:szCs w:val="28"/>
        </w:rPr>
        <w:t>.</w:t>
      </w:r>
    </w:p>
    <w:p w14:paraId="567BE85E" w14:textId="21F19443" w:rsidR="00E603BD" w:rsidRPr="00E603BD" w:rsidRDefault="00191920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Концептуальный дизайн, безусловно, схематичен. Это позволяет дизайнерам как можно более точно реализовать свою идею и остаться понятыми.</w:t>
      </w: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Понимание, по сути, есть процесс освобождения от лишнего. «То, что мы видим нечто действительно наличное, ни больше и ни меньше, – представляет собой результат направляющего наше видение процесса обретения ясности, отсечения иллюзорных образований». [2] В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lastRenderedPageBreak/>
        <w:t>концептуально построенном механизме исключается возможность существования того, что могло бы стать источником неоднозначности, либо такая возможность сведена к минимуму.</w:t>
      </w:r>
    </w:p>
    <w:p w14:paraId="70622FE9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Эффективность использования концептуального метода проектирования в дизайне обеспечивается следующими условиями:</w:t>
      </w:r>
    </w:p>
    <w:p w14:paraId="625AA82B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всегда обоснован, т.е. всегда имеет осмысленное дизайнером логическое основание;</w:t>
      </w:r>
    </w:p>
    <w:p w14:paraId="4E89D241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по продукту концептуального дизайна всегда можно восстановить личность творца;</w:t>
      </w:r>
    </w:p>
    <w:p w14:paraId="6821CC99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работает с качеством проектируемого объекта, а не с набором количественных признаков;</w:t>
      </w:r>
    </w:p>
    <w:p w14:paraId="3606FBA4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в концептуальном дизайне всегда определена предметная область, в рамках которой проектирует дизайнер;</w:t>
      </w:r>
    </w:p>
    <w:p w14:paraId="5D460B32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имеет множество вариантов преставления;</w:t>
      </w:r>
    </w:p>
    <w:p w14:paraId="22899A64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– это особый метод восхождения от конкретного к новому конкретному через синтез абстрактного;</w:t>
      </w:r>
    </w:p>
    <w:p w14:paraId="3053EF6F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– это всегда мышление «сверху»;</w:t>
      </w:r>
    </w:p>
    <w:p w14:paraId="0C3DB5F4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в проектировании – это непрерывный спиралевидный процесс зарождения концепции, формирования гипотезы, создания концепции, ее критики и зарождения новой концепции;</w:t>
      </w:r>
    </w:p>
    <w:p w14:paraId="056A7BD0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в потреблении – это непрерывный процесс идентификации объекта дизайна в соответствии с разными когнитивными ситуациями;</w:t>
      </w:r>
    </w:p>
    <w:p w14:paraId="1D544065" w14:textId="77777777" w:rsidR="00E603BD" w:rsidRPr="00E603BD" w:rsidRDefault="00E603BD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 w:rsidRPr="00E603BD">
        <w:rPr>
          <w:rFonts w:ascii="Times New Roman" w:eastAsia="Cambria" w:hAnsi="Times New Roman" w:cs="Times New Roman"/>
          <w:bCs/>
          <w:sz w:val="28"/>
          <w:szCs w:val="28"/>
        </w:rPr>
        <w:t>– концептуальный дизайн – один из способов актуализации идеи темпоральности.</w:t>
      </w:r>
    </w:p>
    <w:p w14:paraId="74681869" w14:textId="5D2D1C14" w:rsidR="00E603BD" w:rsidRPr="00E603BD" w:rsidRDefault="00191920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Концептуальный дизайнер в процессе своей деятельности совершает истолкование, своего рода экзегезу (греч. </w:t>
      </w:r>
      <w:proofErr w:type="spellStart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exegesis</w:t>
      </w:r>
      <w:proofErr w:type="spellEnd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– толкование), наблюдаемой реальности и превращает ее в предмет своей деятельности – продукт дизайна. Это происходит: во-первых, через осмысление конкретной когнитивной ситуации, во-вторых, через осознание собственного исследовательского намерения и, наконец, в-третьих, через установление точки зрения на мыслимый объект. Это три кита, на которых базируется концептуальный дизайн.</w:t>
      </w: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Концептуальный дизайнер всегда проектирует феноменологически «чисто», не искажая смысла, и главным образом это происходит потому, что он выражает идею в концептуально строгой форме – в виде концептов и отношений между ними.</w:t>
      </w:r>
    </w:p>
    <w:p w14:paraId="5E3BDF38" w14:textId="7CC6FA70" w:rsidR="00E603BD" w:rsidRPr="00E603BD" w:rsidRDefault="00191920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lastRenderedPageBreak/>
        <w:t xml:space="preserve">  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В своей коллекции, посвященной структурной идее «плоского», </w:t>
      </w:r>
      <w:proofErr w:type="spellStart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Маржиела</w:t>
      </w:r>
      <w:proofErr w:type="spellEnd"/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 xml:space="preserve"> сместил рукава и проймы – они были расположены так, чтобы вещи могли лежать совершенно плоско, когда они не надеты на человека. Иногда в них даже были вшиты вешалки, чтобы они могли также плоско висеть. В большинстве случаев одежда имела больше смысла, именно когда ее не надевали: тем самым подчеркивалось превосходство формы, а точнее даже – ее принципиальное отсутствие. Понятно, что идея плоского кроя послужила «механизмом», развернувшим целую структурную концепцию.</w:t>
      </w:r>
    </w:p>
    <w:p w14:paraId="2B091539" w14:textId="1BBE400D" w:rsidR="00E603BD" w:rsidRPr="00E603BD" w:rsidRDefault="00191920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В другой коллекции этого же дизайнера, посвященной идее «чрезмерного», концепция была реализована посредством установленных на показе в качестве декораций огромных круглых банкетных столов, накрытых как будто бы для свадьбы или торжественного обеда. Зрители сидели за столами, а модели в одежде больших размеров расхаживали по столам. Предполагалось, что взгляд снизу вверх, одежда больших размеров и гигантская мебель заставят зрителей усомниться в значимости собственной персоны.</w:t>
      </w:r>
    </w:p>
    <w:p w14:paraId="43F2309D" w14:textId="796738F4" w:rsidR="00E603BD" w:rsidRPr="00E603BD" w:rsidRDefault="00191920" w:rsidP="00E603BD">
      <w:pPr>
        <w:rPr>
          <w:rFonts w:ascii="Times New Roman" w:eastAsia="Cambria" w:hAnsi="Times New Roman" w:cs="Times New Roman"/>
          <w:bCs/>
          <w:sz w:val="28"/>
          <w:szCs w:val="28"/>
        </w:rPr>
      </w:pP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       </w:t>
      </w:r>
      <w:r w:rsidR="00E603BD" w:rsidRPr="00E603BD">
        <w:rPr>
          <w:rFonts w:ascii="Times New Roman" w:eastAsia="Cambria" w:hAnsi="Times New Roman" w:cs="Times New Roman"/>
          <w:bCs/>
          <w:sz w:val="28"/>
          <w:szCs w:val="28"/>
        </w:rPr>
        <w:t>Можно сделать вывод, что для понимания концептуального дизайна следует, прежде всего, правильно «считать» конкретную когнитивную ситуацию, в рамки которой поставил себя дизайнер, и в соответствии с ней выделить лишь то, что имеет смысл «здесь и сейчас», а остальное отбросить. Таким образом, идею концептуального дизайнера всегда можно истолковать по продукту, состоящему из так или иначе организованных концептов и отношений между ними.</w:t>
      </w:r>
    </w:p>
    <w:p w14:paraId="17B548FA" w14:textId="77777777" w:rsidR="00191920" w:rsidRPr="00191920" w:rsidRDefault="00191920" w:rsidP="00191920">
      <w:pPr>
        <w:rPr>
          <w:rFonts w:ascii="Times New Roman" w:eastAsia="Cambria" w:hAnsi="Times New Roman" w:cs="Times New Roman"/>
          <w:b/>
          <w:sz w:val="28"/>
          <w:szCs w:val="28"/>
        </w:rPr>
      </w:pPr>
      <w:r w:rsidRPr="00191920">
        <w:rPr>
          <w:rFonts w:ascii="Times New Roman" w:eastAsia="Cambria" w:hAnsi="Times New Roman" w:cs="Times New Roman"/>
          <w:b/>
          <w:sz w:val="28"/>
          <w:szCs w:val="28"/>
        </w:rPr>
        <w:t>Список литературы</w:t>
      </w:r>
    </w:p>
    <w:p w14:paraId="1E4F4E24" w14:textId="70EB0F50" w:rsidR="00191920" w:rsidRPr="00191920" w:rsidRDefault="00191920" w:rsidP="00191920">
      <w:pPr>
        <w:spacing w:after="0"/>
        <w:rPr>
          <w:rFonts w:ascii="Times New Roman" w:eastAsia="Cambria" w:hAnsi="Times New Roman" w:cs="Times New Roman"/>
          <w:bCs/>
          <w:sz w:val="28"/>
          <w:szCs w:val="28"/>
        </w:rPr>
      </w:pPr>
      <w:r w:rsidRPr="00191920">
        <w:rPr>
          <w:rFonts w:ascii="Times New Roman" w:eastAsia="Cambria" w:hAnsi="Times New Roman" w:cs="Times New Roman"/>
          <w:bCs/>
          <w:sz w:val="28"/>
          <w:szCs w:val="28"/>
        </w:rPr>
        <w:t>1. Левит Сол. Параграфы о концептуальном искусстве // Художественный журнал. 2008, № 69.</w:t>
      </w:r>
    </w:p>
    <w:p w14:paraId="6D40C2F6" w14:textId="25C03AE0" w:rsidR="00191920" w:rsidRPr="00191920" w:rsidRDefault="00191920" w:rsidP="00191920">
      <w:pPr>
        <w:spacing w:after="0"/>
        <w:rPr>
          <w:rFonts w:ascii="Times New Roman" w:eastAsia="Cambria" w:hAnsi="Times New Roman" w:cs="Times New Roman"/>
          <w:bCs/>
          <w:sz w:val="28"/>
          <w:szCs w:val="28"/>
        </w:rPr>
      </w:pPr>
      <w:r w:rsidRPr="00191920">
        <w:rPr>
          <w:rFonts w:ascii="Times New Roman" w:eastAsia="Cambria" w:hAnsi="Times New Roman" w:cs="Times New Roman"/>
          <w:bCs/>
          <w:sz w:val="28"/>
          <w:szCs w:val="28"/>
        </w:rPr>
        <w:t>2. Гадамер Г. Г. Философские основания XX века. Актуальность прекрасного [Текст] / Г.Г. Гадамер // М.: Искусство, – 1991. – С. 15–26.</w:t>
      </w:r>
    </w:p>
    <w:p w14:paraId="3327D029" w14:textId="36EFA19A" w:rsidR="00191920" w:rsidRPr="00191920" w:rsidRDefault="00191920" w:rsidP="00191920">
      <w:pPr>
        <w:spacing w:after="0"/>
        <w:rPr>
          <w:rFonts w:ascii="Times New Roman" w:eastAsia="Cambria" w:hAnsi="Times New Roman" w:cs="Times New Roman"/>
          <w:bCs/>
          <w:sz w:val="28"/>
          <w:szCs w:val="28"/>
        </w:rPr>
      </w:pPr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3. </w:t>
      </w:r>
      <w:proofErr w:type="spellStart"/>
      <w:r w:rsidRPr="00191920">
        <w:rPr>
          <w:rFonts w:ascii="Times New Roman" w:eastAsia="Cambria" w:hAnsi="Times New Roman" w:cs="Times New Roman"/>
          <w:bCs/>
          <w:sz w:val="28"/>
          <w:szCs w:val="28"/>
        </w:rPr>
        <w:t>Дагган</w:t>
      </w:r>
      <w:proofErr w:type="spellEnd"/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 Д.Г. Величайшее шоу мира: взгляд на современные показы мод в связи с искусством перформанса [Текст] / Д.Г. </w:t>
      </w:r>
      <w:proofErr w:type="spellStart"/>
      <w:r w:rsidRPr="00191920">
        <w:rPr>
          <w:rFonts w:ascii="Times New Roman" w:eastAsia="Cambria" w:hAnsi="Times New Roman" w:cs="Times New Roman"/>
          <w:bCs/>
          <w:sz w:val="28"/>
          <w:szCs w:val="28"/>
        </w:rPr>
        <w:t>Дагган</w:t>
      </w:r>
      <w:proofErr w:type="spellEnd"/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 // Теория моды. 2007, №1. – С. 31–58.</w:t>
      </w:r>
    </w:p>
    <w:p w14:paraId="6E01FD14" w14:textId="64198CAE" w:rsidR="00191920" w:rsidRPr="00191920" w:rsidRDefault="00191920" w:rsidP="00191920">
      <w:pPr>
        <w:spacing w:after="0"/>
        <w:rPr>
          <w:rFonts w:ascii="Times New Roman" w:eastAsia="Cambria" w:hAnsi="Times New Roman" w:cs="Times New Roman"/>
          <w:bCs/>
          <w:sz w:val="28"/>
          <w:szCs w:val="28"/>
        </w:rPr>
      </w:pPr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4. </w:t>
      </w:r>
      <w:proofErr w:type="spellStart"/>
      <w:r w:rsidRPr="00191920">
        <w:rPr>
          <w:rFonts w:ascii="Times New Roman" w:eastAsia="Cambria" w:hAnsi="Times New Roman" w:cs="Times New Roman"/>
          <w:bCs/>
          <w:sz w:val="28"/>
          <w:szCs w:val="28"/>
        </w:rPr>
        <w:t>Зиммель</w:t>
      </w:r>
      <w:proofErr w:type="spellEnd"/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 Г. Сущность философии. Вопросы теории</w:t>
      </w:r>
      <w:r>
        <w:rPr>
          <w:rFonts w:ascii="Times New Roman" w:eastAsia="Cambria" w:hAnsi="Times New Roman" w:cs="Times New Roman"/>
          <w:bCs/>
          <w:sz w:val="28"/>
          <w:szCs w:val="28"/>
          <w:lang w:val="ru-RU"/>
        </w:rPr>
        <w:t xml:space="preserve"> </w:t>
      </w:r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и психологии творчества [Текст] / Г. </w:t>
      </w:r>
      <w:proofErr w:type="spellStart"/>
      <w:r w:rsidRPr="00191920">
        <w:rPr>
          <w:rFonts w:ascii="Times New Roman" w:eastAsia="Cambria" w:hAnsi="Times New Roman" w:cs="Times New Roman"/>
          <w:bCs/>
          <w:sz w:val="28"/>
          <w:szCs w:val="28"/>
        </w:rPr>
        <w:t>Зиммель</w:t>
      </w:r>
      <w:proofErr w:type="spellEnd"/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 // М.: Издательский центр «Академия», – 1995. – 212 с.</w:t>
      </w:r>
    </w:p>
    <w:p w14:paraId="7E7EFB2B" w14:textId="14D00DA2" w:rsidR="00191920" w:rsidRPr="00191920" w:rsidRDefault="00191920" w:rsidP="00191920">
      <w:pPr>
        <w:spacing w:after="0"/>
        <w:rPr>
          <w:rFonts w:ascii="Times New Roman" w:eastAsia="Cambria" w:hAnsi="Times New Roman" w:cs="Times New Roman"/>
          <w:bCs/>
          <w:sz w:val="28"/>
          <w:szCs w:val="28"/>
        </w:rPr>
      </w:pPr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5. </w:t>
      </w:r>
      <w:proofErr w:type="spellStart"/>
      <w:r w:rsidRPr="00191920">
        <w:rPr>
          <w:rFonts w:ascii="Times New Roman" w:eastAsia="Cambria" w:hAnsi="Times New Roman" w:cs="Times New Roman"/>
          <w:bCs/>
          <w:sz w:val="28"/>
          <w:szCs w:val="28"/>
        </w:rPr>
        <w:t>Теслинов</w:t>
      </w:r>
      <w:proofErr w:type="spellEnd"/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 А.Г. Концептуальное мышление в разрешении сложных и запутанных проблем. [Текст] / А.Г. </w:t>
      </w:r>
      <w:proofErr w:type="spellStart"/>
      <w:r w:rsidRPr="00191920">
        <w:rPr>
          <w:rFonts w:ascii="Times New Roman" w:eastAsia="Cambria" w:hAnsi="Times New Roman" w:cs="Times New Roman"/>
          <w:bCs/>
          <w:sz w:val="28"/>
          <w:szCs w:val="28"/>
        </w:rPr>
        <w:t>Теслинов</w:t>
      </w:r>
      <w:proofErr w:type="spellEnd"/>
      <w:r w:rsidRPr="00191920">
        <w:rPr>
          <w:rFonts w:ascii="Times New Roman" w:eastAsia="Cambria" w:hAnsi="Times New Roman" w:cs="Times New Roman"/>
          <w:bCs/>
          <w:sz w:val="28"/>
          <w:szCs w:val="28"/>
        </w:rPr>
        <w:t xml:space="preserve"> // СПб.: Питер, – 2009. – 286 с.</w:t>
      </w:r>
    </w:p>
    <w:p w14:paraId="148469F3" w14:textId="2AFDF68B" w:rsidR="00306E3A" w:rsidRDefault="00191920" w:rsidP="00191920">
      <w:pPr>
        <w:spacing w:after="0"/>
        <w:rPr>
          <w:rFonts w:ascii="Times New Roman" w:eastAsia="Cambria" w:hAnsi="Times New Roman" w:cs="Times New Roman"/>
          <w:bCs/>
          <w:sz w:val="28"/>
          <w:szCs w:val="28"/>
        </w:rPr>
      </w:pPr>
      <w:r w:rsidRPr="00191920">
        <w:rPr>
          <w:rFonts w:ascii="Times New Roman" w:eastAsia="Cambria" w:hAnsi="Times New Roman" w:cs="Times New Roman"/>
          <w:bCs/>
          <w:sz w:val="28"/>
          <w:szCs w:val="28"/>
        </w:rPr>
        <w:t>6. URl: http://ru.wikipedia.org.</w:t>
      </w:r>
    </w:p>
    <w:p w14:paraId="6BE7FF4C" w14:textId="3E39E76B" w:rsidR="00195060" w:rsidRDefault="00195060" w:rsidP="00195060">
      <w:pPr>
        <w:rPr>
          <w:rFonts w:ascii="Times New Roman" w:eastAsia="Cambria" w:hAnsi="Times New Roman" w:cs="Times New Roman"/>
          <w:bCs/>
          <w:sz w:val="28"/>
          <w:szCs w:val="28"/>
        </w:rPr>
      </w:pPr>
    </w:p>
    <w:p w14:paraId="4E6FC16C" w14:textId="70825EF4" w:rsidR="00195060" w:rsidRPr="00195060" w:rsidRDefault="00195060" w:rsidP="00195060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95060">
        <w:rPr>
          <w:rFonts w:ascii="Times New Roman" w:hAnsi="Times New Roman" w:cs="Times New Roman"/>
          <w:b/>
          <w:bCs/>
          <w:sz w:val="28"/>
          <w:szCs w:val="28"/>
          <w:lang w:val="ru-RU"/>
        </w:rPr>
        <w:t>Вопросы к семинарской занятий:</w:t>
      </w:r>
    </w:p>
    <w:p w14:paraId="5481A71B" w14:textId="24979E5B" w:rsidR="00195060" w:rsidRDefault="00195060" w:rsidP="001950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5060">
        <w:rPr>
          <w:rFonts w:ascii="Times New Roman" w:hAnsi="Times New Roman" w:cs="Times New Roman"/>
          <w:sz w:val="28"/>
          <w:szCs w:val="28"/>
          <w:lang w:val="ru-RU"/>
        </w:rPr>
        <w:lastRenderedPageBreak/>
        <w:t>Концептуальное моделирование в дизайне среды: сущностные характеристики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95060">
        <w:rPr>
          <w:rFonts w:ascii="Times New Roman" w:hAnsi="Times New Roman" w:cs="Times New Roman"/>
          <w:sz w:val="28"/>
          <w:szCs w:val="28"/>
          <w:lang w:val="ru-RU"/>
        </w:rPr>
        <w:t>и экспертный потенциал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2D305D9" w14:textId="584B083E" w:rsidR="00195060" w:rsidRDefault="00195060" w:rsidP="0019506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195060">
        <w:rPr>
          <w:rFonts w:ascii="Times New Roman" w:hAnsi="Times New Roman" w:cs="Times New Roman"/>
          <w:sz w:val="28"/>
          <w:szCs w:val="28"/>
          <w:lang w:val="ru-RU"/>
        </w:rPr>
        <w:t>Связь графического дизайна с общественной культурой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518808EA" w14:textId="44E113D3" w:rsidR="00A91F6A" w:rsidRPr="00A91F6A" w:rsidRDefault="00A91F6A" w:rsidP="00A9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1F6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Постсоветский дизайн (1987 – 2002)</w:t>
      </w:r>
    </w:p>
    <w:p w14:paraId="09C271DA" w14:textId="033658AD" w:rsidR="00A91F6A" w:rsidRDefault="00A91F6A" w:rsidP="00A9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1F6A">
        <w:rPr>
          <w:rFonts w:ascii="Times New Roman" w:hAnsi="Times New Roman" w:cs="Times New Roman"/>
          <w:sz w:val="28"/>
          <w:szCs w:val="28"/>
          <w:lang w:val="ru-RU"/>
        </w:rPr>
        <w:t>Общая форма и функциональность основных элементов.</w:t>
      </w:r>
    </w:p>
    <w:p w14:paraId="56F4A73C" w14:textId="23C23A82" w:rsidR="00A91F6A" w:rsidRDefault="00A91F6A" w:rsidP="00A9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A91F6A">
        <w:rPr>
          <w:rFonts w:ascii="Times New Roman" w:hAnsi="Times New Roman" w:cs="Times New Roman"/>
          <w:sz w:val="28"/>
          <w:szCs w:val="28"/>
          <w:lang w:val="ru-RU"/>
        </w:rPr>
        <w:t xml:space="preserve">Концептуальное моделирование в дизайне среды: содержание и модель управления.  </w:t>
      </w:r>
    </w:p>
    <w:p w14:paraId="6D4B60C5" w14:textId="3B772609" w:rsidR="0041593C" w:rsidRPr="00A91F6A" w:rsidRDefault="0041593C" w:rsidP="00A91F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41593C">
        <w:rPr>
          <w:rFonts w:ascii="Times New Roman" w:hAnsi="Times New Roman" w:cs="Times New Roman"/>
          <w:sz w:val="28"/>
          <w:szCs w:val="28"/>
          <w:lang w:val="ru-RU"/>
        </w:rPr>
        <w:t>Устойчивый дизайн как источник будущего: концептуальные проблемы и вызовы</w:t>
      </w:r>
    </w:p>
    <w:sectPr w:rsidR="0041593C" w:rsidRPr="00A91F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640A5"/>
    <w:multiLevelType w:val="hybridMultilevel"/>
    <w:tmpl w:val="72B634C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8F"/>
    <w:rsid w:val="00191920"/>
    <w:rsid w:val="00195060"/>
    <w:rsid w:val="00306E3A"/>
    <w:rsid w:val="0041593C"/>
    <w:rsid w:val="005F220B"/>
    <w:rsid w:val="00A91F6A"/>
    <w:rsid w:val="00E07D8F"/>
    <w:rsid w:val="00E603BD"/>
    <w:rsid w:val="00E9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08D15"/>
  <w15:chartTrackingRefBased/>
  <w15:docId w15:val="{A01524D2-8C2F-4165-BB52-1DF75B3B3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5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1812</Words>
  <Characters>10334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2024-11-15T10:14:00Z</dcterms:created>
  <dcterms:modified xsi:type="dcterms:W3CDTF">2024-11-15T11:16:00Z</dcterms:modified>
</cp:coreProperties>
</file>